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75" w:rsidRPr="004B0121" w:rsidRDefault="00140975" w:rsidP="0014097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4B0121">
        <w:rPr>
          <w:rFonts w:ascii="Times New Roman" w:hAnsi="Times New Roman"/>
          <w:b/>
          <w:sz w:val="28"/>
          <w:szCs w:val="28"/>
          <w:lang w:val="uk-UA"/>
        </w:rPr>
        <w:t>КАЛЕНДАРНО-ТЕМАТИЧНЕ ПЛАНУВАННЯ</w:t>
      </w:r>
    </w:p>
    <w:p w:rsidR="00140975" w:rsidRPr="005D2F86" w:rsidRDefault="00140975" w:rsidP="00140975">
      <w:pPr>
        <w:pStyle w:val="a3"/>
        <w:spacing w:line="276" w:lineRule="auto"/>
        <w:jc w:val="center"/>
        <w:rPr>
          <w:rFonts w:ascii="Times New Roman" w:hAnsi="Times New Roman"/>
          <w:b/>
          <w:sz w:val="20"/>
          <w:szCs w:val="28"/>
          <w:lang w:val="uk-UA"/>
        </w:rPr>
      </w:pPr>
    </w:p>
    <w:p w:rsidR="00140975" w:rsidRDefault="00140975" w:rsidP="00140975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D2F86">
        <w:rPr>
          <w:rFonts w:ascii="Times New Roman" w:hAnsi="Times New Roman"/>
          <w:sz w:val="28"/>
          <w:szCs w:val="28"/>
          <w:lang w:val="uk-UA"/>
        </w:rPr>
        <w:t xml:space="preserve">Усього – 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17 год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. На тиждень – 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1 год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. Текстуальне вивчення – 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14 год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. Позакласне читання – 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1 год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. Повторення та узагальнення – 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1 год</w:t>
      </w:r>
      <w:r w:rsidRPr="005D2F86">
        <w:rPr>
          <w:rFonts w:ascii="Times New Roman" w:hAnsi="Times New Roman"/>
          <w:sz w:val="28"/>
          <w:szCs w:val="28"/>
          <w:lang w:val="uk-UA"/>
        </w:rPr>
        <w:t xml:space="preserve">. Розвиток мовлення – </w:t>
      </w:r>
      <w:r w:rsidRPr="005D2F86">
        <w:rPr>
          <w:rFonts w:ascii="Times New Roman" w:hAnsi="Times New Roman"/>
          <w:i/>
          <w:sz w:val="28"/>
          <w:szCs w:val="28"/>
          <w:lang w:val="uk-UA"/>
        </w:rPr>
        <w:t>1 год</w:t>
      </w:r>
      <w:r w:rsidRPr="005D2F86">
        <w:rPr>
          <w:rFonts w:ascii="Times New Roman" w:hAnsi="Times New Roman"/>
          <w:sz w:val="28"/>
          <w:szCs w:val="28"/>
          <w:lang w:val="uk-UA"/>
        </w:rPr>
        <w:t>. (у межах годин на текстуальне вивчення).</w:t>
      </w:r>
    </w:p>
    <w:p w:rsidR="00140975" w:rsidRPr="005D2F86" w:rsidRDefault="00140975" w:rsidP="00140975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5812"/>
      </w:tblGrid>
      <w:tr w:rsidR="00140975" w:rsidRPr="005D2F86" w:rsidTr="00B93EA5"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5D2F86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4"/>
                <w:lang w:val="uk-UA"/>
              </w:rPr>
              <w:t>Дата проведення</w:t>
            </w: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4"/>
                <w:lang w:val="uk-UA"/>
              </w:rPr>
              <w:t>Кількість годин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140975" w:rsidRPr="005D2F86" w:rsidRDefault="00140975" w:rsidP="00B93EA5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5D2F86">
              <w:rPr>
                <w:rFonts w:ascii="Times New Roman" w:hAnsi="Times New Roman"/>
                <w:b/>
                <w:sz w:val="24"/>
                <w:lang w:val="uk-UA"/>
              </w:rPr>
              <w:t>Зміст навчального матеріалу</w:t>
            </w:r>
          </w:p>
        </w:tc>
      </w:tr>
      <w:tr w:rsidR="00140975" w:rsidRPr="005D2F86" w:rsidTr="00B93EA5">
        <w:trPr>
          <w:trHeight w:val="705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ВСТУП. Духовне ядро козацької душі – шляхетність, мудрість, відвага, лицарство.</w:t>
            </w:r>
          </w:p>
        </w:tc>
      </w:tr>
      <w:tr w:rsidR="00140975" w:rsidRPr="005D2F86" w:rsidTr="00B93EA5">
        <w:trPr>
          <w:trHeight w:val="870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Глибокий ліризм історичної пісні про козацьку долю «Ой мандрував молодий козак»</w:t>
            </w:r>
          </w:p>
        </w:tc>
      </w:tr>
      <w:tr w:rsidR="00140975" w:rsidRPr="005D2F86" w:rsidTr="00B93EA5">
        <w:trPr>
          <w:trHeight w:val="403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Роль художніх засобів в історичних піснях «Ой там в степу при дорозі» та «Та ой як крикнув же та козак Сірко»</w:t>
            </w:r>
          </w:p>
        </w:tc>
      </w:tr>
      <w:tr w:rsidR="00140975" w:rsidRPr="005D2F86" w:rsidTr="00B93EA5">
        <w:trPr>
          <w:trHeight w:val="1155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Адріан Кащенко. Коротко про письменника. Історична основа оповідання «Про гетьмана Івана Сулиму». </w:t>
            </w:r>
          </w:p>
        </w:tc>
      </w:tr>
      <w:tr w:rsidR="00140975" w:rsidRPr="005D2F86" w:rsidTr="00B93EA5">
        <w:trPr>
          <w:trHeight w:val="440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Образ Івана Сулими як захисника рідного краю (за оповіданням Адріана Кащенка «Про гетьмана Івана Сулиму»).</w:t>
            </w:r>
          </w:p>
        </w:tc>
      </w:tr>
      <w:tr w:rsidR="00140975" w:rsidRPr="005D2F86" w:rsidTr="00B93EA5">
        <w:trPr>
          <w:trHeight w:val="480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Марія Пригара. Коротко про письменницю. </w:t>
            </w:r>
            <w:r w:rsidRPr="005D2F86">
              <w:rPr>
                <w:rFonts w:ascii="Times New Roman" w:hAnsi="Times New Roman"/>
                <w:color w:val="1F1F1F"/>
                <w:sz w:val="28"/>
                <w:szCs w:val="28"/>
                <w:lang w:val="uk-UA"/>
              </w:rPr>
              <w:t>Запекла боротьба</w:t>
            </w:r>
            <w:r w:rsidRPr="005D2F86">
              <w:rPr>
                <w:rStyle w:val="apple-converted-space"/>
                <w:rFonts w:ascii="Times New Roman" w:hAnsi="Times New Roman"/>
                <w:color w:val="1F1F1F"/>
                <w:sz w:val="28"/>
                <w:szCs w:val="28"/>
                <w:lang w:val="uk-UA"/>
              </w:rPr>
              <w:t xml:space="preserve">  </w:t>
            </w:r>
            <w:r w:rsidRPr="005D2F86">
              <w:rPr>
                <w:rFonts w:ascii="Times New Roman" w:hAnsi="Times New Roman"/>
                <w:color w:val="1F1F1F"/>
                <w:sz w:val="28"/>
                <w:szCs w:val="28"/>
                <w:lang w:val="uk-UA"/>
              </w:rPr>
              <w:t xml:space="preserve">українського козацтва з поневолювачами рідної землі в оповіданні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«Козак Голота».</w:t>
            </w:r>
          </w:p>
        </w:tc>
      </w:tr>
      <w:tr w:rsidR="00140975" w:rsidRPr="005D2F86" w:rsidTr="00B93EA5">
        <w:trPr>
          <w:trHeight w:val="471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Подвиг хороброго лицаря</w:t>
            </w:r>
            <w:r w:rsidRPr="005D2F8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козака в оповіданні Марії Пригари «Про Хведора Безрідного»</w:t>
            </w:r>
          </w:p>
        </w:tc>
      </w:tr>
      <w:tr w:rsidR="00140975" w:rsidRPr="005D2F86" w:rsidTr="00B93EA5">
        <w:trPr>
          <w:trHeight w:val="511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І. Крип’якевич «Малі козаки». Боротьба українського козацтва із поневолювачами.</w:t>
            </w:r>
          </w:p>
        </w:tc>
      </w:tr>
      <w:tr w:rsidR="00140975" w:rsidRPr="005D2F86" w:rsidTr="00B93EA5">
        <w:trPr>
          <w:trHeight w:val="655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І. Крип’якевич «Малі козаки». Образ козаків – мужніх захисників рідного краю.</w:t>
            </w:r>
          </w:p>
        </w:tc>
      </w:tr>
      <w:tr w:rsidR="00140975" w:rsidRPr="005D2F86" w:rsidTr="00B93EA5">
        <w:trPr>
          <w:trHeight w:val="986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Героїчна боротьба українського козацтва із ворогами в історичному оповіданні А. Чайковського «Богданко».</w:t>
            </w:r>
          </w:p>
        </w:tc>
      </w:tr>
      <w:tr w:rsidR="00140975" w:rsidRPr="005D2F86" w:rsidTr="00B93EA5">
        <w:trPr>
          <w:trHeight w:val="708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Образ славного козака Богданка в історичному оповіданні А. Чайковського «Богданко».</w:t>
            </w:r>
          </w:p>
        </w:tc>
      </w:tr>
      <w:tr w:rsidR="00140975" w:rsidRPr="005D2F86" w:rsidTr="00B93EA5">
        <w:trPr>
          <w:trHeight w:val="425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</w:p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Роль позасюжетних елементів (портрет, </w:t>
            </w: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пейзаж, діалоги, монологи) в оповіданні «Богданко».</w:t>
            </w:r>
          </w:p>
        </w:tc>
      </w:tr>
      <w:tr w:rsidR="00140975" w:rsidRPr="005D2F86" w:rsidTr="00B93EA5"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13. 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Розвиток мовлення. Переказ епізоду, який найбільше сподобався.</w:t>
            </w:r>
          </w:p>
        </w:tc>
      </w:tr>
      <w:tr w:rsidR="00140975" w:rsidRPr="005D2F86" w:rsidTr="00B93EA5">
        <w:trPr>
          <w:trHeight w:val="1030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14. 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Анатолій Горовий «Доки шабля в руці». Химерна повість для дітей та дорослих про славне козацьке лицарство.</w:t>
            </w:r>
          </w:p>
        </w:tc>
      </w:tr>
      <w:tr w:rsidR="00140975" w:rsidRPr="005D2F86" w:rsidTr="00B93EA5">
        <w:trPr>
          <w:trHeight w:val="1060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Історія хлопчика Дмитрика, що пройшов крізь грізні випробування, не втративши мужності й гордості, та зумів стати справжнім лицарем.</w:t>
            </w:r>
          </w:p>
        </w:tc>
      </w:tr>
      <w:tr w:rsidR="00140975" w:rsidRPr="005D2F86" w:rsidTr="00B93EA5">
        <w:tblPrEx>
          <w:tblLook w:val="0000" w:firstRow="0" w:lastRow="0" w:firstColumn="0" w:lastColumn="0" w:noHBand="0" w:noVBand="0"/>
        </w:tblPrEx>
        <w:trPr>
          <w:trHeight w:val="651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Урок позакласного читання А. Горовий або А. Чайковський (на вибір вчителя).</w:t>
            </w:r>
          </w:p>
        </w:tc>
      </w:tr>
      <w:tr w:rsidR="00140975" w:rsidRPr="005D2F86" w:rsidTr="00B93EA5">
        <w:tblPrEx>
          <w:tblLook w:val="0000" w:firstRow="0" w:lastRow="0" w:firstColumn="0" w:lastColumn="0" w:noHBand="0" w:noVBand="0"/>
        </w:tblPrEx>
        <w:trPr>
          <w:trHeight w:val="1068"/>
        </w:trPr>
        <w:tc>
          <w:tcPr>
            <w:tcW w:w="6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1560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1 год.</w:t>
            </w:r>
          </w:p>
        </w:tc>
        <w:tc>
          <w:tcPr>
            <w:tcW w:w="5812" w:type="dxa"/>
          </w:tcPr>
          <w:p w:rsidR="00140975" w:rsidRPr="005D2F86" w:rsidRDefault="00140975" w:rsidP="00B93EA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F86">
              <w:rPr>
                <w:rFonts w:ascii="Times New Roman" w:hAnsi="Times New Roman"/>
                <w:sz w:val="28"/>
                <w:szCs w:val="28"/>
                <w:lang w:val="uk-UA"/>
              </w:rPr>
              <w:t>Повторення та узагальнення. Бесіда про твори, що вивчалися упродовж року й викликали найбільше роздумів, суперечок, зацікавлення.</w:t>
            </w:r>
          </w:p>
        </w:tc>
      </w:tr>
    </w:tbl>
    <w:p w:rsidR="00140975" w:rsidRPr="005D2F86" w:rsidRDefault="00140975" w:rsidP="0014097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0975" w:rsidRPr="005D2F86" w:rsidRDefault="00140975" w:rsidP="0014097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0975" w:rsidRPr="005D2F86" w:rsidRDefault="00140975" w:rsidP="0014097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0975" w:rsidRPr="005D2F86" w:rsidRDefault="00140975" w:rsidP="0014097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0975" w:rsidRPr="005D2F86" w:rsidRDefault="00140975" w:rsidP="0014097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0975" w:rsidRPr="005D2F86" w:rsidRDefault="00140975" w:rsidP="0014097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1BC" w:rsidRPr="00140975" w:rsidRDefault="005411BC">
      <w:pPr>
        <w:rPr>
          <w:lang w:val="uk-UA"/>
        </w:rPr>
      </w:pPr>
    </w:p>
    <w:sectPr w:rsidR="005411BC" w:rsidRPr="00140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C9"/>
    <w:rsid w:val="00140975"/>
    <w:rsid w:val="005411BC"/>
    <w:rsid w:val="0056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09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40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09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4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2021-02-06T19:44:00Z</dcterms:created>
  <dcterms:modified xsi:type="dcterms:W3CDTF">2021-02-06T19:45:00Z</dcterms:modified>
</cp:coreProperties>
</file>